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b/>
          <w:kern w:val="0"/>
          <w:sz w:val="32"/>
          <w:szCs w:val="32"/>
        </w:rPr>
        <w:t>广东</w:t>
      </w:r>
      <w:r>
        <w:rPr>
          <w:rFonts w:ascii="黑体" w:hAnsi="黑体" w:eastAsia="黑体"/>
          <w:b/>
          <w:kern w:val="0"/>
          <w:sz w:val="32"/>
          <w:szCs w:val="32"/>
        </w:rPr>
        <w:t>省科技</w:t>
      </w:r>
      <w:r>
        <w:rPr>
          <w:rFonts w:hint="eastAsia" w:ascii="黑体" w:hAnsi="黑体" w:eastAsia="黑体"/>
          <w:b/>
          <w:kern w:val="0"/>
          <w:sz w:val="32"/>
          <w:szCs w:val="32"/>
        </w:rPr>
        <w:t>创新</w:t>
      </w:r>
      <w:r>
        <w:rPr>
          <w:rFonts w:ascii="黑体" w:hAnsi="黑体" w:eastAsia="黑体"/>
          <w:b/>
          <w:kern w:val="0"/>
          <w:sz w:val="32"/>
          <w:szCs w:val="32"/>
        </w:rPr>
        <w:t>监测</w:t>
      </w:r>
      <w:r>
        <w:rPr>
          <w:rFonts w:hint="eastAsia" w:ascii="黑体" w:hAnsi="黑体" w:eastAsia="黑体"/>
          <w:b/>
          <w:kern w:val="0"/>
          <w:sz w:val="32"/>
          <w:szCs w:val="32"/>
        </w:rPr>
        <w:t>研究</w:t>
      </w:r>
      <w:r>
        <w:rPr>
          <w:rFonts w:ascii="黑体" w:hAnsi="黑体" w:eastAsia="黑体"/>
          <w:b/>
          <w:kern w:val="0"/>
          <w:sz w:val="32"/>
          <w:szCs w:val="32"/>
        </w:rPr>
        <w:t>中心</w:t>
      </w:r>
      <w:r>
        <w:rPr>
          <w:rFonts w:hint="eastAsia" w:ascii="黑体" w:hAnsi="黑体" w:eastAsia="黑体"/>
          <w:b/>
          <w:kern w:val="0"/>
          <w:sz w:val="32"/>
          <w:szCs w:val="32"/>
        </w:rPr>
        <w:t>2022年广东省科技业务管理阳光政务平台安全检测技术服务</w:t>
      </w:r>
      <w:r>
        <w:rPr>
          <w:rFonts w:ascii="黑体" w:hAnsi="黑体" w:eastAsia="黑体"/>
          <w:b/>
          <w:kern w:val="0"/>
          <w:sz w:val="32"/>
          <w:szCs w:val="32"/>
        </w:rPr>
        <w:t>项目</w:t>
      </w:r>
      <w:r>
        <w:rPr>
          <w:rFonts w:hint="eastAsia" w:ascii="黑体" w:hAnsi="黑体" w:eastAsia="黑体"/>
          <w:b/>
          <w:kern w:val="0"/>
          <w:sz w:val="32"/>
          <w:szCs w:val="32"/>
        </w:rPr>
        <w:t>采购需求书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一、采购项目内容</w:t>
      </w:r>
    </w:p>
    <w:p>
      <w:pPr>
        <w:ind w:left="559" w:leftChars="266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color w:val="333333"/>
          <w:sz w:val="28"/>
          <w:szCs w:val="28"/>
        </w:rPr>
        <w:t>广东省科技业务管理阳光政务平台安全检测技术服务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二、采购项目需求（包括种类、数量、质量）</w:t>
      </w:r>
    </w:p>
    <w:p>
      <w:pPr>
        <w:ind w:firstLine="562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1. 广东省科技业务管理阳光政务平台信息系统渗透测试：</w:t>
      </w:r>
      <w:r>
        <w:rPr>
          <w:rFonts w:ascii="仿宋" w:hAnsi="仿宋" w:eastAsia="仿宋"/>
          <w:sz w:val="28"/>
          <w:szCs w:val="28"/>
        </w:rPr>
        <w:t xml:space="preserve"> </w:t>
      </w:r>
      <w:bookmarkStart w:id="0" w:name="bookmark51"/>
      <w:r>
        <w:rPr>
          <w:rFonts w:hint="eastAsia" w:ascii="仿宋" w:hAnsi="仿宋" w:eastAsia="仿宋"/>
          <w:sz w:val="28"/>
          <w:szCs w:val="28"/>
        </w:rPr>
        <w:t>（1）对测试环境-Nginx1、测试环境-Nginx2、测试环境-ActiveMQ消息管理服务器、测试环境-Tomcat1、测试环境-Tomcat2、测试环境后端Oracle数据库、测试环境数据共享Oracle数据库服务器、测试环境网上办事大厅数据库、测试环境nfs文件服务器、测试环境代理服务器1(政务外网区)、测试环境代理服务器2(互联网区)、代理服务器2、广东省科技业务管理阳光政务平台（外网测试环境）等13台主机与系统开展渗透测试服务。</w:t>
      </w:r>
      <w:bookmarkEnd w:id="0"/>
      <w:r>
        <w:rPr>
          <w:rFonts w:hint="eastAsia" w:ascii="仿宋" w:hAnsi="仿宋" w:eastAsia="仿宋"/>
          <w:sz w:val="28"/>
          <w:szCs w:val="28"/>
        </w:rPr>
        <w:t>并出具《渗透测试服务报告》。</w:t>
      </w:r>
    </w:p>
    <w:p>
      <w:pPr>
        <w:ind w:firstLine="562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2.</w:t>
      </w:r>
      <w:r>
        <w:rPr>
          <w:rFonts w:hint="eastAsia"/>
          <w:color w:val="333333"/>
        </w:rPr>
        <w:t xml:space="preserve"> </w:t>
      </w:r>
      <w:r>
        <w:rPr>
          <w:rFonts w:hint="eastAsia" w:ascii="仿宋" w:hAnsi="仿宋" w:eastAsia="仿宋"/>
          <w:b/>
          <w:bCs/>
          <w:sz w:val="28"/>
          <w:szCs w:val="28"/>
        </w:rPr>
        <w:t>开展特定时间内的日志分析服务：</w:t>
      </w:r>
      <w:r>
        <w:rPr>
          <w:rFonts w:hint="eastAsia" w:ascii="仿宋" w:hAnsi="仿宋" w:eastAsia="仿宋"/>
          <w:sz w:val="28"/>
          <w:szCs w:val="28"/>
        </w:rPr>
        <w:t>对平台WAF、IPS日志关联登陆日志分析是否有攻击IP成功登陆过系统、数据库查询与登陆记录关联分析数据库查询日志是否有SQL注入等异常查询。并出具《技术服务报告》</w:t>
      </w:r>
    </w:p>
    <w:p>
      <w:pPr>
        <w:pStyle w:val="8"/>
        <w:tabs>
          <w:tab w:val="left" w:pos="1078"/>
        </w:tabs>
        <w:spacing w:line="610" w:lineRule="exact"/>
        <w:ind w:firstLine="600"/>
        <w:jc w:val="left"/>
        <w:rPr>
          <w:rFonts w:ascii="仿宋" w:hAnsi="仿宋" w:eastAsia="仿宋" w:cstheme="minorBidi"/>
          <w:lang w:val="en-US" w:eastAsia="zh-CN" w:bidi="ar-SA"/>
        </w:rPr>
      </w:pPr>
      <w:r>
        <w:rPr>
          <w:rFonts w:hint="eastAsia" w:ascii="仿宋" w:hAnsi="仿宋" w:eastAsia="仿宋"/>
          <w:b/>
          <w:bCs/>
        </w:rPr>
        <w:t>3</w:t>
      </w:r>
      <w:r>
        <w:rPr>
          <w:rFonts w:hint="eastAsia" w:ascii="仿宋" w:hAnsi="仿宋" w:eastAsia="仿宋"/>
          <w:b/>
          <w:bCs/>
          <w:lang w:eastAsia="zh-CN"/>
        </w:rPr>
        <w:t>.</w:t>
      </w:r>
      <w:r>
        <w:rPr>
          <w:rFonts w:ascii="仿宋" w:hAnsi="仿宋" w:eastAsia="仿宋"/>
          <w:b/>
          <w:bCs/>
        </w:rPr>
        <w:t xml:space="preserve"> </w:t>
      </w:r>
      <w:r>
        <w:rPr>
          <w:rFonts w:hint="eastAsia" w:ascii="仿宋" w:hAnsi="仿宋" w:eastAsia="仿宋"/>
          <w:b/>
          <w:bCs/>
        </w:rPr>
        <w:t>开展平台敏感信息安全保护专项评估服务：</w:t>
      </w:r>
      <w:r>
        <w:rPr>
          <w:rFonts w:hint="eastAsia" w:ascii="仿宋" w:hAnsi="仿宋" w:eastAsia="仿宋" w:cstheme="minorBidi"/>
          <w:lang w:val="en-US" w:eastAsia="zh-CN" w:bidi="ar-SA"/>
        </w:rPr>
        <w:t>收集整理评审专家信息，对可能推导出最终专家名单的信息标记为敏感信息；梳理业务流程中的涉敏流程，评估流程各节点是否存在泄漏隐患；梳理敏感信息数据流向，分析涉密信息的泄漏途径，并评估当前保护措施，对涉敏信息泄漏风险进行分级；针对涉敏信息风险提供安全防护与整改建议。并出具《专家信息梳理报告》、《涉敏业务流程梳理报告》、《涉敏数据安全风险评估报告》、《涉敏数据安全保护建议》等安全评估报告。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三、采购项目服务期限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2022年4月20日至2022年4月3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/>
          <w:sz w:val="28"/>
          <w:szCs w:val="28"/>
        </w:rPr>
        <w:t>日</w:t>
      </w:r>
      <w:bookmarkStart w:id="1" w:name="_GoBack"/>
      <w:bookmarkEnd w:id="1"/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四、采购项目验收要求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供应商按要求完成采购服务内容后，提供需求描述中所要求的报告作为交付成果。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五、供应商要求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1.符合《政府采购法》第二十二条规定的条件；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2.具有独立法人资格，注册地在广州。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3.具有</w:t>
      </w:r>
      <w:r>
        <w:rPr>
          <w:rFonts w:ascii="仿宋" w:hAnsi="仿宋" w:eastAsia="仿宋"/>
          <w:sz w:val="28"/>
          <w:szCs w:val="28"/>
        </w:rPr>
        <w:t>信息安全服务资质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4.本项目不接受联合体投标。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5.本项目不举行集中答疑标。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jNDEwYmRiZTlmMDQ4NjExMTI5Yzk4MzgzNmJkNGQifQ=="/>
  </w:docVars>
  <w:rsids>
    <w:rsidRoot w:val="00E35045"/>
    <w:rsid w:val="00706C48"/>
    <w:rsid w:val="00922F92"/>
    <w:rsid w:val="00C83662"/>
    <w:rsid w:val="00E35045"/>
    <w:rsid w:val="79AB3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Body text|1"/>
    <w:basedOn w:val="1"/>
    <w:qFormat/>
    <w:uiPriority w:val="0"/>
    <w:pPr>
      <w:spacing w:line="446" w:lineRule="auto"/>
      <w:ind w:firstLine="400"/>
    </w:pPr>
    <w:rPr>
      <w:rFonts w:ascii="宋体" w:hAnsi="宋体" w:eastAsia="宋体" w:cs="宋体"/>
      <w:sz w:val="28"/>
      <w:szCs w:val="28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762</Words>
  <Characters>837</Characters>
  <Lines>6</Lines>
  <Paragraphs>1</Paragraphs>
  <TotalTime>1</TotalTime>
  <ScaleCrop>false</ScaleCrop>
  <LinksUpToDate>false</LinksUpToDate>
  <CharactersWithSpaces>841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2022-04-12T07:22:00Z</dcterms:created>
  <dc:creator>黄宝强</dc:creator>
  <cp:lastModifiedBy>Ａ麻木 1nG Ｂ</cp:lastModifiedBy>
  <dcterms:modified xsi:type="dcterms:W3CDTF">2022-07-20T06:20:55Z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87B61C85D48E4D10813AD74FB97D5016</vt:lpwstr>
  </property>
</Properties>
</file>