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lang w:val="en-US" w:eastAsia="zh-CN"/>
        </w:rPr>
      </w:pPr>
      <w:r>
        <w:rPr>
          <w:rFonts w:hint="eastAsia" w:ascii="黑体" w:hAnsi="黑体" w:eastAsia="黑体"/>
          <w:b/>
          <w:color w:val="auto"/>
          <w:kern w:val="0"/>
          <w:sz w:val="32"/>
          <w:szCs w:val="32"/>
        </w:rPr>
        <w:t>广东省科技创新监测研究中心</w:t>
      </w:r>
      <w:r>
        <w:rPr>
          <w:rFonts w:hint="eastAsia" w:ascii="黑体" w:hAnsi="黑体" w:eastAsia="黑体"/>
          <w:b/>
          <w:color w:val="auto"/>
          <w:kern w:val="0"/>
          <w:sz w:val="32"/>
          <w:szCs w:val="32"/>
          <w:lang w:val="en-US" w:eastAsia="zh-CN"/>
        </w:rPr>
        <w:t>广东省科技业务管理</w:t>
      </w:r>
    </w:p>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lang w:val="en-US" w:eastAsia="zh-CN"/>
        </w:rPr>
        <w:t>阳光政务平台2022年度业务运营</w:t>
      </w:r>
      <w:r>
        <w:rPr>
          <w:rFonts w:hint="eastAsia" w:ascii="黑体" w:hAnsi="黑体" w:eastAsia="黑体"/>
          <w:b/>
          <w:color w:val="auto"/>
          <w:kern w:val="0"/>
          <w:sz w:val="32"/>
          <w:szCs w:val="32"/>
        </w:rPr>
        <w:t>服务项目</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楷体" w:hAnsi="楷体" w:eastAsia="楷体" w:cs="楷体"/>
          <w:color w:val="auto"/>
          <w:sz w:val="28"/>
          <w:szCs w:val="28"/>
          <w:lang w:val="en-US" w:eastAsia="zh-CN"/>
        </w:rPr>
      </w:pPr>
      <w:r>
        <w:rPr>
          <w:rFonts w:hint="eastAsia" w:ascii="仿宋" w:hAnsi="仿宋" w:eastAsia="仿宋"/>
          <w:color w:val="auto"/>
          <w:sz w:val="28"/>
          <w:szCs w:val="28"/>
          <w:lang w:val="en-US" w:eastAsia="zh-CN"/>
        </w:rPr>
        <w:t>基于省科技业务管理阳光政务平台升级改造暨省实验室管理信息化服务（2022年）项目，开展阳光政务平台2022年度业务运营服务。主要内容如下：</w:t>
      </w:r>
    </w:p>
    <w:p>
      <w:pPr>
        <w:ind w:firstLine="560" w:firstLineChars="200"/>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（一）业务数据运营</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（1）平台数据导出</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提供管理人员使用平台过程中需要后台导出的数据，并对导出后的数据核验，包括申报、评审、立项、合同、变更、执行报告、验收等全过程数据。</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（2）专家入库</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将需入库专家名单与阳光政务平台中的专家库进行查重，根据查重结果为专家创建专家账号、专家角色。</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（3）深圳技术合同数据推送对接国家中间库</w:t>
      </w:r>
    </w:p>
    <w:p>
      <w:pPr>
        <w:ind w:firstLine="560" w:firstLineChars="200"/>
        <w:rPr>
          <w:rFonts w:hint="default" w:ascii="楷体" w:hAnsi="楷体" w:eastAsia="楷体" w:cs="楷体"/>
          <w:color w:val="auto"/>
          <w:sz w:val="28"/>
          <w:szCs w:val="28"/>
          <w:lang w:val="en-US" w:eastAsia="zh-CN"/>
        </w:rPr>
      </w:pPr>
      <w:r>
        <w:rPr>
          <w:rFonts w:hint="default" w:ascii="楷体" w:hAnsi="楷体" w:eastAsia="楷体" w:cs="楷体"/>
          <w:color w:val="auto"/>
          <w:sz w:val="28"/>
          <w:szCs w:val="28"/>
          <w:lang w:val="en-US" w:eastAsia="zh-CN"/>
        </w:rPr>
        <w:t>（二）平台业务运营</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协助管理人员操作系统，同时配合开通平台业务申报、评审表测试、评审表配置、现场支持等工作。</w:t>
      </w:r>
    </w:p>
    <w:p>
      <w:pPr>
        <w:ind w:firstLine="560" w:firstLineChars="200"/>
        <w:rPr>
          <w:rFonts w:hint="default" w:ascii="楷体" w:hAnsi="楷体" w:eastAsia="楷体" w:cs="楷体"/>
          <w:color w:val="auto"/>
          <w:sz w:val="28"/>
          <w:szCs w:val="28"/>
          <w:lang w:val="en-US" w:eastAsia="zh-CN"/>
        </w:rPr>
      </w:pPr>
      <w:r>
        <w:rPr>
          <w:rFonts w:hint="default" w:ascii="楷体" w:hAnsi="楷体" w:eastAsia="楷体" w:cs="楷体"/>
          <w:color w:val="auto"/>
          <w:sz w:val="28"/>
          <w:szCs w:val="28"/>
          <w:lang w:val="en-US" w:eastAsia="zh-CN"/>
        </w:rPr>
        <w:t>（三）系统管理运营</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主要包括：（1）生产数据处理；（2）生产版本发布处理；（3）系统性能优化；（4）系统稳定性支持；（5）第三方系统对接稳定性管理。</w:t>
      </w:r>
    </w:p>
    <w:p>
      <w:pPr>
        <w:ind w:firstLine="560" w:firstLineChars="200"/>
        <w:rPr>
          <w:rFonts w:hint="default" w:ascii="楷体" w:hAnsi="楷体" w:eastAsia="楷体" w:cs="楷体"/>
          <w:color w:val="auto"/>
          <w:sz w:val="28"/>
          <w:szCs w:val="28"/>
          <w:lang w:val="en-US" w:eastAsia="zh-CN"/>
        </w:rPr>
      </w:pPr>
      <w:r>
        <w:rPr>
          <w:rFonts w:hint="default" w:ascii="楷体" w:hAnsi="楷体" w:eastAsia="楷体" w:cs="楷体"/>
          <w:color w:val="auto"/>
          <w:sz w:val="28"/>
          <w:szCs w:val="28"/>
          <w:lang w:val="en-US" w:eastAsia="zh-CN"/>
        </w:rPr>
        <w:t>（四）系统环境适配调整</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tbl>
      <w:tblPr>
        <w:tblStyle w:val="2"/>
        <w:tblW w:w="51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351"/>
        <w:gridCol w:w="3900"/>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序号</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Theme="minorEastAsia"/>
                <w:b/>
                <w:bCs/>
                <w:color w:val="000000"/>
                <w:lang w:val="en-US" w:eastAsia="zh-CN"/>
              </w:rPr>
            </w:pPr>
            <w:r>
              <w:rPr>
                <w:rFonts w:hint="eastAsia"/>
                <w:b/>
                <w:bCs/>
                <w:color w:val="000000"/>
                <w:lang w:val="en-US" w:eastAsia="zh-CN"/>
              </w:rPr>
              <w:t>工作任务</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lang w:val="en-US" w:eastAsia="zh-CN"/>
              </w:rPr>
              <w:t>主要</w:t>
            </w:r>
            <w:r>
              <w:rPr>
                <w:rFonts w:hint="eastAsia"/>
                <w:b/>
                <w:bCs/>
                <w:color w:val="000000"/>
              </w:rPr>
              <w:t>内容</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b/>
                <w:bCs/>
                <w:color w:val="000000"/>
              </w:rPr>
            </w:pPr>
            <w:r>
              <w:rPr>
                <w:rFonts w:hint="eastAsia"/>
                <w:b/>
                <w:bCs/>
                <w:color w:val="000000"/>
              </w:rPr>
              <w:t>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w:t>
            </w:r>
          </w:p>
        </w:tc>
        <w:tc>
          <w:tcPr>
            <w:tcW w:w="4511"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业务数据运营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1.1</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平台数据导出</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完成全年业务数据导出需求（根据评估，每周平均有超过10次数据导出需求，平均字段要求超过50项，其中存在部分复杂数据统计分析）。</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根据业务管理要求，及时并高质量完成数据统计服务，全年提供不少于400次服务。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1.2</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专家入库</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根据业务需要，批量对专家进行查重、入库处理：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（1）每年对规定业务的项目负责人、参与人批量入库。</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（2）批量对浙江省共享专家入库，并更新其学科代码、科技部技术领域等信息。</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配合完成专家数据查重、筛选工作，并支持对不少于5000名专家信息进行导入、完善。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1.3</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深圳技术合同数据推送对接国家中间库</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在中间库中单独创建深圳技术合同库，并将深圳技术合同数据推送至中间库中，以支持将深圳技术合同数据报送国家。</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支持深圳技术合同数据报送国家，完成2022年不少于8000条深圳技术合同数据报送国家。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2</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平台业务运营</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（1）新增专题配置约200项，新增业务开通约70项，对应申请表单附件模板配置约100套，评审表测试、配置工作约60套。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（2）现场业务支持，科技计划项目评审现场支持、重大评审活动奖励、高企等现场支持等。</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完成广东省科学技术厅2022年期间不少于70项业务开通、60套评审表配置及技术支持，保证业务正常进行。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3</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系统管理运营</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（1）对生产数据处理。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（2）完成生产版本发布，一周约两或三次。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（3）对系统性能优化；系统稳定性支持，每周处理约20项生产问题。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（4）第三方系统对接稳定性管理。</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000000"/>
              </w:rPr>
            </w:pPr>
            <w:r>
              <w:rPr>
                <w:rFonts w:hint="eastAsia"/>
                <w:color w:val="000000"/>
              </w:rPr>
              <w:t>完成阳光政务平台版本管理，保证系统稳定运行。其中，完成不少于70次生产版本发布，协助处理或修复生产数据/问题不少于800项。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488"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4</w:t>
            </w:r>
          </w:p>
        </w:tc>
        <w:tc>
          <w:tcPr>
            <w:tcW w:w="7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系统环境适配调整</w:t>
            </w:r>
          </w:p>
        </w:tc>
        <w:tc>
          <w:tcPr>
            <w:tcW w:w="223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根据2021年安全测评漏洞扫描对系统环境进行适配调整。</w:t>
            </w:r>
          </w:p>
        </w:tc>
        <w:tc>
          <w:tcPr>
            <w:tcW w:w="149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000000"/>
              </w:rPr>
            </w:pPr>
            <w:r>
              <w:rPr>
                <w:rFonts w:hint="eastAsia"/>
                <w:color w:val="000000"/>
              </w:rPr>
              <w:t>完成系统环境适配调整，通过安全测评。</w:t>
            </w:r>
          </w:p>
        </w:tc>
      </w:tr>
    </w:tbl>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2022年6月15日至2022年12月31日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bookmarkStart w:id="0" w:name="_GoBack"/>
      <w:bookmarkEnd w:id="0"/>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7B015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2022-06-06T03:40:56Z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B3A3D235264049D48AB37F89AF23252D</vt:lpwstr>
  </property>
</Properties>
</file>